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Style w:val="Grilledutableau"/>
        <w:tblpPr w:leftFromText="180" w:rightFromText="180" w:horzAnchor="margin" w:tblpXSpec="center" w:tblpY="927"/>
        <w:tblW w:w="0" w:type="auto"/>
        <w:tblLook w:val="04A0" w:firstRow="1" w:lastRow="0" w:firstColumn="1" w:lastColumn="0" w:noHBand="0" w:noVBand="1"/>
      </w:tblPr>
      <w:tblGrid>
        <w:gridCol w:w="5749"/>
      </w:tblGrid>
      <w:tr w:rsidR="002D208E" w:rsidRPr="00A9427F" w14:paraId="4A5DFE8F" w14:textId="77777777" w:rsidTr="0058640A">
        <w:trPr>
          <w:trHeight w:val="1877"/>
        </w:trPr>
        <w:tc>
          <w:tcPr>
            <w:tcW w:w="5749" w:type="dxa"/>
            <w:tcBorders>
              <w:bottom w:val="single" w:sz="4" w:space="0" w:color="auto"/>
            </w:tcBorders>
            <w:vAlign w:val="center"/>
          </w:tcPr>
          <w:p w14:paraId="1484EBFD" w14:textId="77777777" w:rsidR="006A0EBE" w:rsidRPr="00A9427F" w:rsidRDefault="002D461E" w:rsidP="009544FB">
            <w:pPr>
              <w:ind w:left="0" w:firstLine="0"/>
              <w:jc w:val="center"/>
              <w:rPr>
                <w:sz w:val="18"/>
                <w:szCs w:val="18"/>
              </w:rPr>
            </w:pPr>
            <w:r w:rsidRPr="00A9427F">
              <w:rPr>
                <w:sz w:val="18"/>
                <w:szCs w:val="18"/>
              </w:rPr>
              <w:drawing>
                <wp:inline distT="0" distB="0" distL="0" distR="0" wp14:anchorId="11915048" wp14:editId="0EC1A3F7">
                  <wp:extent cx="3289399" cy="6953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AC-Logo-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9952" cy="763085"/>
                          </a:xfrm>
                          <a:prstGeom prst="rect">
                            <a:avLst/>
                          </a:prstGeom>
                        </pic:spPr>
                      </pic:pic>
                    </a:graphicData>
                  </a:graphic>
                </wp:inline>
              </w:drawing>
            </w:r>
          </w:p>
        </w:tc>
      </w:tr>
      <w:tr w:rsidR="00344907" w:rsidRPr="00A9427F" w14:paraId="406E976A" w14:textId="77777777" w:rsidTr="009544FB">
        <w:trPr>
          <w:trHeight w:val="620"/>
        </w:trPr>
        <w:tc>
          <w:tcPr>
            <w:tcW w:w="5749" w:type="dxa"/>
            <w:tcBorders>
              <w:bottom w:val="nil"/>
            </w:tcBorders>
            <w:vAlign w:val="center"/>
          </w:tcPr>
          <w:p w14:paraId="12FB8FE4" w14:textId="77777777" w:rsidR="005C6DAD" w:rsidRPr="00A9427F" w:rsidRDefault="00344907" w:rsidP="009544FB">
            <w:pPr>
              <w:spacing w:before="120"/>
              <w:ind w:left="0" w:firstLine="0"/>
              <w:jc w:val="center"/>
              <w:rPr>
                <w:rFonts w:ascii="Verdana" w:hAnsi="Verdana"/>
                <w:b/>
              </w:rPr>
            </w:pPr>
            <w:r w:rsidRPr="00A9427F">
              <w:rPr>
                <w:rFonts w:ascii="Verdana" w:hAnsi="Verdana"/>
                <w:b/>
              </w:rPr>
              <w:t>Avis d’audience</w:t>
            </w:r>
          </w:p>
          <w:p w14:paraId="57CBCC6F" w14:textId="77777777" w:rsidR="00C2580D" w:rsidRPr="00A9427F" w:rsidRDefault="00C2580D" w:rsidP="00C2580D">
            <w:pPr>
              <w:ind w:left="0" w:firstLine="0"/>
              <w:jc w:val="center"/>
              <w:rPr>
                <w:rFonts w:ascii="Verdana" w:hAnsi="Verdana"/>
                <w:b/>
              </w:rPr>
            </w:pPr>
            <w:r w:rsidRPr="00A9427F">
              <w:rPr>
                <w:rFonts w:ascii="Verdana" w:hAnsi="Verdana"/>
                <w:b/>
              </w:rPr>
              <w:t>Nouveau point de vente au détail d’essence à Borden-Carleton</w:t>
            </w:r>
          </w:p>
        </w:tc>
      </w:tr>
      <w:tr w:rsidR="002D208E" w:rsidRPr="00A9427F" w14:paraId="40D9E278" w14:textId="77777777" w:rsidTr="009544FB">
        <w:trPr>
          <w:trHeight w:val="1611"/>
        </w:trPr>
        <w:tc>
          <w:tcPr>
            <w:tcW w:w="5749" w:type="dxa"/>
            <w:tcBorders>
              <w:top w:val="nil"/>
              <w:bottom w:val="nil"/>
            </w:tcBorders>
            <w:vAlign w:val="center"/>
          </w:tcPr>
          <w:p w14:paraId="6DB39638" w14:textId="1C13DDCF" w:rsidR="002D208E" w:rsidRPr="00A9427F" w:rsidRDefault="00C2580D" w:rsidP="009544FB">
            <w:pPr>
              <w:pStyle w:val="Corpsdetexte3"/>
              <w:rPr>
                <w:rFonts w:ascii="Verdana" w:hAnsi="Verdana" w:cs="Arial"/>
                <w:b w:val="0"/>
                <w:szCs w:val="18"/>
              </w:rPr>
            </w:pPr>
            <w:r w:rsidRPr="00A9427F">
              <w:rPr>
                <w:rFonts w:ascii="Verdana" w:hAnsi="Verdana" w:cs="Arial"/>
                <w:b w:val="0"/>
              </w:rPr>
              <w:t xml:space="preserve">DP Murphy Inc. a soumis une demande de permis à la Commission de réglementation et d’appels de l’Île-du-Prince-Édouard, conformément à la </w:t>
            </w:r>
            <w:r w:rsidRPr="00A9427F">
              <w:rPr>
                <w:rFonts w:ascii="Verdana" w:hAnsi="Verdana" w:cs="Arial"/>
                <w:i/>
                <w:lang w:val="en-CA"/>
              </w:rPr>
              <w:t>Petroleum Products</w:t>
            </w:r>
            <w:r w:rsidR="00F97728">
              <w:rPr>
                <w:rFonts w:ascii="Verdana" w:hAnsi="Verdana" w:cs="Arial"/>
                <w:i/>
                <w:lang w:val="en-CA"/>
              </w:rPr>
              <w:t xml:space="preserve"> </w:t>
            </w:r>
            <w:r w:rsidRPr="00A9427F">
              <w:rPr>
                <w:rFonts w:ascii="Verdana" w:hAnsi="Verdana" w:cs="Arial"/>
                <w:i/>
                <w:lang w:val="en-CA"/>
              </w:rPr>
              <w:t>Act</w:t>
            </w:r>
            <w:r w:rsidRPr="00A9427F">
              <w:rPr>
                <w:rFonts w:ascii="Verdana" w:hAnsi="Verdana" w:cs="Arial"/>
                <w:b w:val="0"/>
              </w:rPr>
              <w:t xml:space="preserve"> (loi</w:t>
            </w:r>
            <w:r w:rsidR="00A9427F">
              <w:rPr>
                <w:rFonts w:ascii="Verdana" w:hAnsi="Verdana" w:cs="Arial"/>
                <w:b w:val="0"/>
              </w:rPr>
              <w:t> </w:t>
            </w:r>
            <w:r w:rsidRPr="00A9427F">
              <w:rPr>
                <w:rFonts w:ascii="Verdana" w:hAnsi="Verdana" w:cs="Arial"/>
                <w:b w:val="0"/>
              </w:rPr>
              <w:t>sur les produits pétroliers), afin d’exploiter un nouveau point de vente au détail d’essence et de diesel, un dépanneur et un café, avec des bornes de recharge de véhicules électriques et au détail supplémentaires, qui seraient situés à l’intersection de la route Transcanadienne et du chemin Dickie (n</w:t>
            </w:r>
            <w:r w:rsidRPr="00A9427F">
              <w:rPr>
                <w:rFonts w:ascii="Verdana" w:hAnsi="Verdana" w:cs="Arial"/>
                <w:b w:val="0"/>
                <w:vertAlign w:val="superscript"/>
              </w:rPr>
              <w:t>o</w:t>
            </w:r>
            <w:r w:rsidR="00F97728">
              <w:rPr>
                <w:rFonts w:ascii="Verdana" w:hAnsi="Verdana" w:cs="Arial"/>
                <w:b w:val="0"/>
              </w:rPr>
              <w:t> </w:t>
            </w:r>
            <w:r w:rsidRPr="00A9427F">
              <w:rPr>
                <w:rFonts w:ascii="Verdana" w:hAnsi="Verdana" w:cs="Arial"/>
                <w:b w:val="0"/>
              </w:rPr>
              <w:t>de propriété</w:t>
            </w:r>
            <w:r w:rsidR="00A9427F">
              <w:rPr>
                <w:rFonts w:ascii="Verdana" w:hAnsi="Verdana" w:cs="Arial"/>
                <w:b w:val="0"/>
              </w:rPr>
              <w:t> </w:t>
            </w:r>
            <w:r w:rsidRPr="00A9427F">
              <w:rPr>
                <w:rFonts w:ascii="Verdana" w:hAnsi="Verdana" w:cs="Arial"/>
                <w:b w:val="0"/>
              </w:rPr>
              <w:t>: 686592).</w:t>
            </w:r>
          </w:p>
          <w:p w14:paraId="1D96E4F2" w14:textId="77777777" w:rsidR="00011FB7" w:rsidRPr="00A56B77" w:rsidRDefault="00011FB7" w:rsidP="009544FB">
            <w:pPr>
              <w:pStyle w:val="Corpsdetexte3"/>
              <w:rPr>
                <w:rFonts w:ascii="Verdana" w:hAnsi="Verdana" w:cs="Arial"/>
                <w:b w:val="0"/>
                <w:bCs/>
                <w:szCs w:val="18"/>
              </w:rPr>
            </w:pPr>
          </w:p>
        </w:tc>
      </w:tr>
      <w:tr w:rsidR="00AA5B3B" w:rsidRPr="00A9427F" w14:paraId="51FAA1E8" w14:textId="77777777" w:rsidTr="009544FB">
        <w:tc>
          <w:tcPr>
            <w:tcW w:w="5749" w:type="dxa"/>
            <w:tcBorders>
              <w:top w:val="nil"/>
            </w:tcBorders>
            <w:vAlign w:val="center"/>
          </w:tcPr>
          <w:p w14:paraId="01D1E52C" w14:textId="77777777" w:rsidR="00B3248B" w:rsidRPr="00A9427F" w:rsidRDefault="00F7049A" w:rsidP="009544FB">
            <w:pPr>
              <w:spacing w:before="60"/>
              <w:ind w:left="0" w:firstLine="0"/>
              <w:rPr>
                <w:rFonts w:ascii="Verdana" w:hAnsi="Verdana"/>
                <w:b/>
                <w:sz w:val="18"/>
                <w:szCs w:val="18"/>
              </w:rPr>
            </w:pPr>
            <w:r w:rsidRPr="00A9427F">
              <w:rPr>
                <w:rFonts w:ascii="Verdana" w:hAnsi="Verdana"/>
                <w:b/>
                <w:sz w:val="18"/>
              </w:rPr>
              <w:t>CONTEXTE</w:t>
            </w:r>
          </w:p>
          <w:p w14:paraId="6C5178B6" w14:textId="77777777" w:rsidR="00AA5B3B" w:rsidRPr="00A9427F" w:rsidRDefault="00B3248B" w:rsidP="009544FB">
            <w:pPr>
              <w:spacing w:before="60"/>
              <w:ind w:left="0" w:firstLine="0"/>
              <w:rPr>
                <w:rFonts w:ascii="Verdana" w:hAnsi="Verdana"/>
                <w:sz w:val="18"/>
                <w:szCs w:val="18"/>
              </w:rPr>
            </w:pPr>
            <w:r w:rsidRPr="00A9427F">
              <w:rPr>
                <w:rFonts w:ascii="Verdana" w:hAnsi="Verdana"/>
                <w:sz w:val="18"/>
              </w:rPr>
              <w:t xml:space="preserve">Toute personne qui soumet une demande de nouveau point de vente au détail de produits du pétrole doit le faire conformément à l’article 20 de la </w:t>
            </w:r>
            <w:r w:rsidRPr="00A9427F">
              <w:rPr>
                <w:rFonts w:ascii="Verdana" w:hAnsi="Verdana"/>
                <w:b/>
                <w:i/>
                <w:sz w:val="18"/>
              </w:rPr>
              <w:t>Loi</w:t>
            </w:r>
            <w:r w:rsidRPr="00A9427F">
              <w:rPr>
                <w:rFonts w:ascii="Verdana" w:hAnsi="Verdana"/>
                <w:sz w:val="18"/>
              </w:rPr>
              <w:t>.</w:t>
            </w:r>
          </w:p>
          <w:p w14:paraId="0C90D303" w14:textId="77777777" w:rsidR="00C2580D" w:rsidRPr="00A9427F" w:rsidRDefault="00C2580D" w:rsidP="009544FB">
            <w:pPr>
              <w:spacing w:before="60"/>
              <w:ind w:left="0" w:firstLine="0"/>
              <w:rPr>
                <w:rFonts w:ascii="Verdana" w:hAnsi="Verdana"/>
                <w:sz w:val="18"/>
                <w:szCs w:val="18"/>
              </w:rPr>
            </w:pPr>
          </w:p>
          <w:p w14:paraId="2AFBCC12" w14:textId="77777777" w:rsidR="00B3248B" w:rsidRPr="00A9427F" w:rsidRDefault="00F7049A" w:rsidP="009544FB">
            <w:pPr>
              <w:spacing w:before="60"/>
              <w:ind w:left="0" w:firstLine="0"/>
              <w:rPr>
                <w:rFonts w:ascii="Verdana" w:hAnsi="Verdana"/>
                <w:b/>
                <w:sz w:val="18"/>
                <w:szCs w:val="18"/>
              </w:rPr>
            </w:pPr>
            <w:r w:rsidRPr="00A9427F">
              <w:rPr>
                <w:rFonts w:ascii="Verdana" w:hAnsi="Verdana"/>
                <w:b/>
                <w:sz w:val="18"/>
              </w:rPr>
              <w:t>CONSULTATION DE LA DEMANDE</w:t>
            </w:r>
          </w:p>
          <w:p w14:paraId="4CCB71CD" w14:textId="60B7CE81" w:rsidR="00A83F7A" w:rsidRPr="00A9427F" w:rsidRDefault="00B3248B" w:rsidP="00A83F7A">
            <w:pPr>
              <w:spacing w:before="60"/>
              <w:ind w:left="0" w:firstLine="0"/>
              <w:rPr>
                <w:rFonts w:ascii="Verdana" w:hAnsi="Verdana"/>
                <w:sz w:val="18"/>
                <w:szCs w:val="18"/>
              </w:rPr>
            </w:pPr>
            <w:r w:rsidRPr="00A9427F">
              <w:rPr>
                <w:rFonts w:ascii="Verdana" w:hAnsi="Verdana"/>
                <w:sz w:val="18"/>
              </w:rPr>
              <w:t xml:space="preserve">Une copie complète de la demande est disponible sur le site Web de la Commission, à </w:t>
            </w:r>
            <w:hyperlink r:id="rId7" w:history="1">
              <w:r w:rsidRPr="00A9427F">
                <w:rPr>
                  <w:rStyle w:val="Lienhypertexte"/>
                  <w:rFonts w:ascii="Verdana" w:hAnsi="Verdana"/>
                  <w:b/>
                  <w:sz w:val="18"/>
                  <w:u w:val="none"/>
                </w:rPr>
                <w:t>irac.pe.ca/petrol/petroleum</w:t>
              </w:r>
            </w:hyperlink>
            <w:r w:rsidRPr="00A9427F">
              <w:rPr>
                <w:rFonts w:ascii="Verdana" w:hAnsi="Verdana"/>
                <w:sz w:val="18"/>
              </w:rPr>
              <w:t>.</w:t>
            </w:r>
          </w:p>
          <w:p w14:paraId="12FBBAE9" w14:textId="77777777" w:rsidR="00C2580D" w:rsidRPr="00A9427F" w:rsidRDefault="00C2580D" w:rsidP="00C2580D">
            <w:pPr>
              <w:spacing w:before="60"/>
              <w:ind w:left="0" w:firstLine="0"/>
              <w:rPr>
                <w:rFonts w:ascii="Verdana" w:hAnsi="Verdana"/>
                <w:bCs/>
                <w:sz w:val="18"/>
                <w:szCs w:val="18"/>
              </w:rPr>
            </w:pPr>
          </w:p>
          <w:p w14:paraId="5E3E4360" w14:textId="77777777" w:rsidR="00C2580D" w:rsidRPr="00A9427F" w:rsidRDefault="00C2580D" w:rsidP="00C2580D">
            <w:pPr>
              <w:spacing w:before="60"/>
              <w:ind w:left="0" w:firstLine="0"/>
              <w:rPr>
                <w:rFonts w:ascii="Verdana" w:hAnsi="Verdana"/>
                <w:bCs/>
                <w:sz w:val="18"/>
                <w:szCs w:val="18"/>
              </w:rPr>
            </w:pPr>
            <w:r w:rsidRPr="00A9427F">
              <w:rPr>
                <w:rFonts w:ascii="Verdana" w:hAnsi="Verdana"/>
                <w:b/>
                <w:sz w:val="18"/>
              </w:rPr>
              <w:t>AUDIENCE PUBLIQUE</w:t>
            </w:r>
          </w:p>
          <w:p w14:paraId="15ABA5B3" w14:textId="5F5B5B69" w:rsidR="009C2CB1" w:rsidRPr="00A9427F" w:rsidRDefault="00C2580D" w:rsidP="009544FB">
            <w:pPr>
              <w:spacing w:before="60"/>
              <w:ind w:left="0" w:firstLine="0"/>
              <w:jc w:val="left"/>
              <w:rPr>
                <w:rFonts w:ascii="Verdana" w:hAnsi="Verdana"/>
                <w:bCs/>
                <w:sz w:val="18"/>
                <w:szCs w:val="18"/>
              </w:rPr>
            </w:pPr>
            <w:r w:rsidRPr="00A9427F">
              <w:rPr>
                <w:rFonts w:ascii="Verdana" w:hAnsi="Verdana"/>
                <w:sz w:val="18"/>
              </w:rPr>
              <w:t>La Commission tiendra une audience publique à propos de cette demande.</w:t>
            </w:r>
            <w:r w:rsidRPr="00A9427F">
              <w:rPr>
                <w:rFonts w:ascii="Verdana" w:hAnsi="Verdana"/>
                <w:bCs/>
                <w:sz w:val="18"/>
                <w:szCs w:val="18"/>
              </w:rPr>
              <w:t xml:space="preserve"> </w:t>
            </w:r>
            <w:r w:rsidRPr="00A9427F">
              <w:rPr>
                <w:rFonts w:ascii="Verdana" w:hAnsi="Verdana"/>
                <w:sz w:val="18"/>
              </w:rPr>
              <w:t>Elle aura lieu dans la salle d’audience de la Commission, le mardi 25</w:t>
            </w:r>
            <w:r w:rsidR="00A9427F">
              <w:rPr>
                <w:rFonts w:ascii="Verdana" w:hAnsi="Verdana"/>
                <w:sz w:val="18"/>
              </w:rPr>
              <w:t> </w:t>
            </w:r>
            <w:r w:rsidRPr="00A9427F">
              <w:rPr>
                <w:rFonts w:ascii="Verdana" w:hAnsi="Verdana"/>
                <w:sz w:val="18"/>
              </w:rPr>
              <w:t>février</w:t>
            </w:r>
            <w:r w:rsidR="00A9427F">
              <w:rPr>
                <w:rFonts w:ascii="Verdana" w:hAnsi="Verdana"/>
                <w:sz w:val="18"/>
              </w:rPr>
              <w:t> </w:t>
            </w:r>
            <w:r w:rsidRPr="00A9427F">
              <w:rPr>
                <w:rFonts w:ascii="Verdana" w:hAnsi="Verdana"/>
                <w:sz w:val="18"/>
              </w:rPr>
              <w:t>2025, à compter de 9 h 30.</w:t>
            </w:r>
            <w:r w:rsidRPr="00A9427F">
              <w:rPr>
                <w:rFonts w:ascii="Verdana" w:hAnsi="Verdana"/>
                <w:bCs/>
                <w:sz w:val="18"/>
                <w:szCs w:val="18"/>
              </w:rPr>
              <w:t xml:space="preserve"> </w:t>
            </w:r>
            <w:r w:rsidRPr="00A9427F">
              <w:rPr>
                <w:rFonts w:ascii="Verdana" w:hAnsi="Verdana"/>
                <w:sz w:val="18"/>
              </w:rPr>
              <w:t>La salle d’audience sera ouverte au grand public.</w:t>
            </w:r>
            <w:r w:rsidRPr="00A9427F">
              <w:rPr>
                <w:rFonts w:ascii="Verdana" w:hAnsi="Verdana"/>
                <w:bCs/>
                <w:sz w:val="18"/>
                <w:szCs w:val="18"/>
              </w:rPr>
              <w:t xml:space="preserve"> </w:t>
            </w:r>
            <w:r w:rsidRPr="00A9427F">
              <w:rPr>
                <w:rFonts w:ascii="Verdana" w:hAnsi="Verdana"/>
                <w:sz w:val="18"/>
              </w:rPr>
              <w:t>La capacité de la salle d’audience est limitée; les places seront offertes selon le principe du premier arrivé, premier servi.</w:t>
            </w:r>
            <w:r w:rsidRPr="00A9427F">
              <w:rPr>
                <w:rFonts w:ascii="Verdana" w:hAnsi="Verdana"/>
                <w:bCs/>
                <w:sz w:val="18"/>
                <w:szCs w:val="18"/>
              </w:rPr>
              <w:t xml:space="preserve"> </w:t>
            </w:r>
            <w:r w:rsidRPr="00A9427F">
              <w:rPr>
                <w:rFonts w:ascii="Verdana" w:hAnsi="Verdana"/>
                <w:sz w:val="18"/>
              </w:rPr>
              <w:t xml:space="preserve">Cette audience sera menée conformément aux </w:t>
            </w:r>
            <w:hyperlink r:id="rId8" w:history="1">
              <w:r w:rsidRPr="00A9427F">
                <w:rPr>
                  <w:rStyle w:val="Lienhypertexte"/>
                  <w:rFonts w:ascii="Verdana" w:hAnsi="Verdana"/>
                  <w:sz w:val="18"/>
                </w:rPr>
                <w:t>règles de pratique et de procédure</w:t>
              </w:r>
            </w:hyperlink>
            <w:r w:rsidRPr="00A9427F">
              <w:rPr>
                <w:rFonts w:ascii="Verdana" w:hAnsi="Verdana"/>
                <w:sz w:val="18"/>
              </w:rPr>
              <w:t xml:space="preserve"> de la Commission.</w:t>
            </w:r>
          </w:p>
          <w:p w14:paraId="7500861C" w14:textId="77777777" w:rsidR="006238C7" w:rsidRPr="00A9427F" w:rsidRDefault="006238C7" w:rsidP="009544FB">
            <w:pPr>
              <w:spacing w:before="60"/>
              <w:ind w:left="0" w:firstLine="0"/>
              <w:jc w:val="left"/>
              <w:rPr>
                <w:rFonts w:ascii="Verdana" w:hAnsi="Verdana"/>
                <w:bCs/>
                <w:sz w:val="18"/>
                <w:szCs w:val="18"/>
              </w:rPr>
            </w:pPr>
          </w:p>
          <w:p w14:paraId="3025E851" w14:textId="77777777" w:rsidR="009C2CB1" w:rsidRPr="00A9427F" w:rsidRDefault="009C2CB1" w:rsidP="009C2CB1">
            <w:pPr>
              <w:spacing w:before="60"/>
              <w:ind w:left="0" w:firstLine="0"/>
              <w:rPr>
                <w:rFonts w:ascii="Verdana" w:hAnsi="Verdana"/>
                <w:b/>
                <w:sz w:val="18"/>
                <w:szCs w:val="18"/>
              </w:rPr>
            </w:pPr>
            <w:r w:rsidRPr="00A9427F">
              <w:rPr>
                <w:rFonts w:ascii="Verdana" w:hAnsi="Verdana"/>
                <w:b/>
                <w:sz w:val="18"/>
              </w:rPr>
              <w:t>DIFFUSION AUDIO DE L’AUDIENCE</w:t>
            </w:r>
          </w:p>
          <w:p w14:paraId="236BB955" w14:textId="2666ADA4" w:rsidR="00526A40" w:rsidRPr="00A9427F" w:rsidRDefault="00A56B77" w:rsidP="00492EED">
            <w:pPr>
              <w:spacing w:before="60"/>
              <w:ind w:left="0" w:firstLine="0"/>
              <w:rPr>
                <w:rFonts w:ascii="Verdana" w:hAnsi="Verdana"/>
                <w:sz w:val="18"/>
                <w:szCs w:val="18"/>
              </w:rPr>
            </w:pPr>
            <w:r>
              <w:rPr>
                <w:rFonts w:ascii="Verdana" w:hAnsi="Verdana"/>
                <w:sz w:val="18"/>
              </w:rPr>
              <w:t>Il sera possible d’</w:t>
            </w:r>
            <w:r w:rsidR="00167778" w:rsidRPr="00A9427F">
              <w:rPr>
                <w:rFonts w:ascii="Verdana" w:hAnsi="Verdana"/>
                <w:sz w:val="18"/>
              </w:rPr>
              <w:t xml:space="preserve">écouter en direct la diffusion audio de l’audience sur le site Web de la Commission, à </w:t>
            </w:r>
            <w:hyperlink r:id="rId9" w:history="1">
              <w:r w:rsidR="00167778" w:rsidRPr="00A9427F">
                <w:rPr>
                  <w:rStyle w:val="Lienhypertexte"/>
                  <w:rFonts w:ascii="Verdana" w:hAnsi="Verdana"/>
                  <w:sz w:val="18"/>
                </w:rPr>
                <w:t>irac.pe.ca/hearings/public-hearing-schedule</w:t>
              </w:r>
            </w:hyperlink>
            <w:r w:rsidR="00167778" w:rsidRPr="00A9427F">
              <w:rPr>
                <w:rFonts w:ascii="Verdana" w:hAnsi="Verdana"/>
                <w:sz w:val="18"/>
              </w:rPr>
              <w:t>.</w:t>
            </w:r>
          </w:p>
          <w:p w14:paraId="76B1C4E5" w14:textId="77777777" w:rsidR="00716E6C" w:rsidRPr="00A9427F" w:rsidRDefault="00716E6C" w:rsidP="00D439A2">
            <w:pPr>
              <w:ind w:left="0" w:firstLine="0"/>
              <w:rPr>
                <w:rFonts w:ascii="Verdana" w:hAnsi="Verdana"/>
                <w:b/>
                <w:sz w:val="18"/>
                <w:szCs w:val="18"/>
              </w:rPr>
            </w:pPr>
          </w:p>
          <w:p w14:paraId="2E14B45E" w14:textId="53178CAC" w:rsidR="00D439A2" w:rsidRPr="00A9427F" w:rsidRDefault="00C2580D" w:rsidP="00492EED">
            <w:pPr>
              <w:ind w:left="0" w:firstLine="0"/>
              <w:rPr>
                <w:rFonts w:ascii="Verdana" w:hAnsi="Verdana"/>
                <w:b/>
                <w:sz w:val="18"/>
                <w:szCs w:val="18"/>
              </w:rPr>
            </w:pPr>
            <w:r w:rsidRPr="00A9427F">
              <w:rPr>
                <w:rFonts w:ascii="Verdana" w:hAnsi="Verdana"/>
                <w:b/>
                <w:sz w:val="18"/>
              </w:rPr>
              <w:t>DEMANDES D’INFORMATION</w:t>
            </w:r>
          </w:p>
          <w:p w14:paraId="6B58539C" w14:textId="77777777" w:rsidR="00AA5B3B" w:rsidRPr="00A9427F" w:rsidRDefault="00B3248B" w:rsidP="00566A0C">
            <w:pPr>
              <w:pStyle w:val="Corpsdetexte3"/>
              <w:ind w:right="1394"/>
              <w:jc w:val="left"/>
              <w:rPr>
                <w:rFonts w:ascii="Verdana" w:hAnsi="Verdana" w:cs="Arial"/>
                <w:b w:val="0"/>
                <w:bCs/>
                <w:szCs w:val="18"/>
              </w:rPr>
            </w:pPr>
            <w:r w:rsidRPr="00A9427F">
              <w:rPr>
                <w:rFonts w:ascii="Verdana" w:hAnsi="Verdana" w:cs="Arial"/>
                <w:b w:val="0"/>
              </w:rPr>
              <w:t>Commission de réglementation et d’appels de l’Île-du-Prince-Édouard</w:t>
            </w:r>
          </w:p>
          <w:p w14:paraId="368C833B" w14:textId="77777777" w:rsidR="00B3248B" w:rsidRPr="00A9427F" w:rsidRDefault="00B3248B" w:rsidP="00D439A2">
            <w:pPr>
              <w:pStyle w:val="Corpsdetexte3"/>
              <w:jc w:val="left"/>
              <w:rPr>
                <w:rFonts w:ascii="Verdana" w:hAnsi="Verdana" w:cs="Arial"/>
                <w:b w:val="0"/>
                <w:bCs/>
                <w:szCs w:val="18"/>
              </w:rPr>
            </w:pPr>
            <w:r w:rsidRPr="00A9427F">
              <w:rPr>
                <w:rFonts w:ascii="Verdana" w:hAnsi="Verdana" w:cs="Arial"/>
                <w:b w:val="0"/>
              </w:rPr>
              <w:t>C.P. 577</w:t>
            </w:r>
          </w:p>
          <w:p w14:paraId="47933624" w14:textId="3527A184" w:rsidR="00B3248B" w:rsidRPr="00A9427F" w:rsidRDefault="00B3248B" w:rsidP="00D439A2">
            <w:pPr>
              <w:pStyle w:val="Corpsdetexte3"/>
              <w:jc w:val="left"/>
              <w:rPr>
                <w:rFonts w:ascii="Verdana" w:hAnsi="Verdana" w:cs="Arial"/>
                <w:b w:val="0"/>
                <w:bCs/>
                <w:szCs w:val="18"/>
              </w:rPr>
            </w:pPr>
            <w:r w:rsidRPr="00A9427F">
              <w:rPr>
                <w:rFonts w:ascii="Verdana" w:hAnsi="Verdana" w:cs="Arial"/>
                <w:b w:val="0"/>
              </w:rPr>
              <w:t>Charlottetown (Île-du-Prince-Édouard)</w:t>
            </w:r>
            <w:r w:rsidR="00A9427F">
              <w:rPr>
                <w:rFonts w:ascii="Verdana" w:hAnsi="Verdana" w:cs="Arial"/>
                <w:b w:val="0"/>
              </w:rPr>
              <w:t>  </w:t>
            </w:r>
            <w:r w:rsidRPr="00A9427F">
              <w:rPr>
                <w:rFonts w:ascii="Verdana" w:hAnsi="Verdana" w:cs="Arial"/>
                <w:b w:val="0"/>
              </w:rPr>
              <w:t>C1A</w:t>
            </w:r>
            <w:r w:rsidR="00A9427F">
              <w:rPr>
                <w:rFonts w:ascii="Verdana" w:hAnsi="Verdana" w:cs="Arial"/>
                <w:b w:val="0"/>
              </w:rPr>
              <w:t> </w:t>
            </w:r>
            <w:r w:rsidRPr="00A9427F">
              <w:rPr>
                <w:rFonts w:ascii="Verdana" w:hAnsi="Verdana" w:cs="Arial"/>
                <w:b w:val="0"/>
              </w:rPr>
              <w:t>7L1</w:t>
            </w:r>
          </w:p>
          <w:p w14:paraId="507DE04B" w14:textId="1FD0A26A" w:rsidR="005C6DAD" w:rsidRPr="00A9427F" w:rsidRDefault="00DF0EE3" w:rsidP="00D439A2">
            <w:pPr>
              <w:pStyle w:val="Corpsdetexte3"/>
              <w:jc w:val="left"/>
              <w:rPr>
                <w:rFonts w:ascii="Verdana" w:hAnsi="Verdana" w:cs="Arial"/>
                <w:b w:val="0"/>
                <w:bCs/>
                <w:szCs w:val="18"/>
              </w:rPr>
            </w:pPr>
            <w:r w:rsidRPr="00A9427F">
              <w:rPr>
                <w:rFonts w:ascii="Verdana" w:hAnsi="Verdana" w:cs="Arial"/>
                <w:b w:val="0"/>
              </w:rPr>
              <w:t>902-892-3501</w:t>
            </w:r>
          </w:p>
          <w:p w14:paraId="081283FA" w14:textId="56F6482C" w:rsidR="00FC02E6" w:rsidRPr="00A9427F" w:rsidRDefault="00FC02E6" w:rsidP="00FC02E6">
            <w:pPr>
              <w:pStyle w:val="Corpsdetexte3"/>
              <w:jc w:val="left"/>
              <w:rPr>
                <w:rFonts w:ascii="Verdana" w:hAnsi="Verdana" w:cs="Arial"/>
                <w:b w:val="0"/>
                <w:bCs/>
                <w:szCs w:val="18"/>
              </w:rPr>
            </w:pPr>
            <w:hyperlink r:id="rId10" w:history="1">
              <w:r w:rsidRPr="00A9427F">
                <w:rPr>
                  <w:rStyle w:val="Lienhypertexte"/>
                  <w:rFonts w:ascii="Verdana" w:hAnsi="Verdana" w:cs="Arial"/>
                  <w:b w:val="0"/>
                </w:rPr>
                <w:t>petroleuminquiries@irac.pe.ca</w:t>
              </w:r>
            </w:hyperlink>
          </w:p>
          <w:p w14:paraId="495DC26B" w14:textId="77777777" w:rsidR="00FC02E6" w:rsidRPr="00A9427F" w:rsidRDefault="00FC02E6" w:rsidP="00D439A2">
            <w:pPr>
              <w:pStyle w:val="Corpsdetexte3"/>
              <w:jc w:val="left"/>
              <w:rPr>
                <w:rFonts w:ascii="Verdana" w:hAnsi="Verdana" w:cs="Arial"/>
                <w:b w:val="0"/>
                <w:bCs/>
                <w:szCs w:val="18"/>
              </w:rPr>
            </w:pPr>
          </w:p>
          <w:p w14:paraId="2CF87058" w14:textId="66EC9132" w:rsidR="00AA5B3B" w:rsidRPr="00A9427F" w:rsidRDefault="00AA5B3B" w:rsidP="004951C5">
            <w:pPr>
              <w:pStyle w:val="Corpsdetexte3"/>
              <w:tabs>
                <w:tab w:val="left" w:pos="1260"/>
              </w:tabs>
              <w:jc w:val="left"/>
              <w:rPr>
                <w:rFonts w:ascii="Verdana" w:hAnsi="Verdana" w:cs="Arial"/>
                <w:b w:val="0"/>
                <w:bCs/>
                <w:szCs w:val="18"/>
              </w:rPr>
            </w:pPr>
            <w:r w:rsidRPr="00A9427F">
              <w:rPr>
                <w:rFonts w:ascii="Verdana" w:hAnsi="Verdana" w:cs="Arial"/>
              </w:rPr>
              <w:t>FAIT</w:t>
            </w:r>
            <w:r w:rsidRPr="00A9427F">
              <w:rPr>
                <w:rFonts w:ascii="Verdana" w:hAnsi="Verdana" w:cs="Arial"/>
                <w:b w:val="0"/>
              </w:rPr>
              <w:t xml:space="preserve"> ce 7</w:t>
            </w:r>
            <w:r w:rsidRPr="00A9427F">
              <w:rPr>
                <w:rFonts w:ascii="Verdana" w:hAnsi="Verdana" w:cs="Arial"/>
                <w:b w:val="0"/>
                <w:vertAlign w:val="superscript"/>
              </w:rPr>
              <w:t>e</w:t>
            </w:r>
            <w:r w:rsidR="00A9427F">
              <w:rPr>
                <w:rFonts w:ascii="Verdana" w:hAnsi="Verdana" w:cs="Arial"/>
                <w:b w:val="0"/>
              </w:rPr>
              <w:t> </w:t>
            </w:r>
            <w:r w:rsidRPr="00A9427F">
              <w:rPr>
                <w:rFonts w:ascii="Verdana" w:hAnsi="Verdana" w:cs="Arial"/>
                <w:b w:val="0"/>
              </w:rPr>
              <w:t>jour de février</w:t>
            </w:r>
            <w:r w:rsidR="00A9427F">
              <w:rPr>
                <w:rFonts w:ascii="Verdana" w:hAnsi="Verdana" w:cs="Arial"/>
                <w:b w:val="0"/>
              </w:rPr>
              <w:t> </w:t>
            </w:r>
            <w:r w:rsidRPr="00A9427F">
              <w:rPr>
                <w:rFonts w:ascii="Verdana" w:hAnsi="Verdana" w:cs="Arial"/>
                <w:b w:val="0"/>
              </w:rPr>
              <w:t>2025.</w:t>
            </w:r>
          </w:p>
        </w:tc>
      </w:tr>
    </w:tbl>
    <w:p w14:paraId="17221521" w14:textId="77777777" w:rsidR="0012166F" w:rsidRPr="00715C6C" w:rsidRDefault="0012166F" w:rsidP="00B3248B">
      <w:pPr>
        <w:spacing w:before="0" w:after="0"/>
        <w:ind w:left="0" w:firstLine="0"/>
        <w:rPr>
          <w:rFonts w:ascii="Verdana" w:hAnsi="Verdana"/>
          <w:sz w:val="18"/>
          <w:szCs w:val="18"/>
        </w:rPr>
      </w:pPr>
    </w:p>
    <w:sectPr w:rsidR="0012166F" w:rsidRPr="00715C6C" w:rsidSect="002D461E">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CAD0" w14:textId="77777777" w:rsidR="005D4CE0" w:rsidRDefault="005D4CE0" w:rsidP="00A9427F">
      <w:pPr>
        <w:spacing w:before="0" w:after="0"/>
      </w:pPr>
      <w:r>
        <w:separator/>
      </w:r>
    </w:p>
  </w:endnote>
  <w:endnote w:type="continuationSeparator" w:id="0">
    <w:p w14:paraId="7F73C3E2" w14:textId="77777777" w:rsidR="005D4CE0" w:rsidRDefault="005D4CE0" w:rsidP="00A942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10FC5" w14:textId="77777777" w:rsidR="005D4CE0" w:rsidRDefault="005D4CE0" w:rsidP="00A9427F">
      <w:pPr>
        <w:spacing w:before="0" w:after="0"/>
      </w:pPr>
      <w:r>
        <w:separator/>
      </w:r>
    </w:p>
  </w:footnote>
  <w:footnote w:type="continuationSeparator" w:id="0">
    <w:p w14:paraId="0EFB9175" w14:textId="77777777" w:rsidR="005D4CE0" w:rsidRDefault="005D4CE0" w:rsidP="00A9427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8E"/>
    <w:rsid w:val="00004816"/>
    <w:rsid w:val="00011FB7"/>
    <w:rsid w:val="00024CD8"/>
    <w:rsid w:val="00025B4F"/>
    <w:rsid w:val="000E20D8"/>
    <w:rsid w:val="000E58C7"/>
    <w:rsid w:val="000F3B6A"/>
    <w:rsid w:val="000F6BB9"/>
    <w:rsid w:val="00114758"/>
    <w:rsid w:val="0012166F"/>
    <w:rsid w:val="001240DB"/>
    <w:rsid w:val="00153CC7"/>
    <w:rsid w:val="00167778"/>
    <w:rsid w:val="00191878"/>
    <w:rsid w:val="00195AAD"/>
    <w:rsid w:val="001E1C80"/>
    <w:rsid w:val="001E1CC6"/>
    <w:rsid w:val="00232617"/>
    <w:rsid w:val="00255AF2"/>
    <w:rsid w:val="00276161"/>
    <w:rsid w:val="002D208E"/>
    <w:rsid w:val="002D461E"/>
    <w:rsid w:val="00301A42"/>
    <w:rsid w:val="0030596D"/>
    <w:rsid w:val="003214C7"/>
    <w:rsid w:val="00344907"/>
    <w:rsid w:val="00345E3C"/>
    <w:rsid w:val="00347990"/>
    <w:rsid w:val="003B5B0D"/>
    <w:rsid w:val="003D12D0"/>
    <w:rsid w:val="003E44A8"/>
    <w:rsid w:val="00423D0D"/>
    <w:rsid w:val="004314E2"/>
    <w:rsid w:val="00440C63"/>
    <w:rsid w:val="00475F47"/>
    <w:rsid w:val="00492EED"/>
    <w:rsid w:val="004951C5"/>
    <w:rsid w:val="004B7BAF"/>
    <w:rsid w:val="004C7A57"/>
    <w:rsid w:val="004D2C16"/>
    <w:rsid w:val="004F00AA"/>
    <w:rsid w:val="004F6C9F"/>
    <w:rsid w:val="00526A40"/>
    <w:rsid w:val="005417AC"/>
    <w:rsid w:val="00566A0C"/>
    <w:rsid w:val="00582652"/>
    <w:rsid w:val="0058640A"/>
    <w:rsid w:val="005C6DAD"/>
    <w:rsid w:val="005D4CE0"/>
    <w:rsid w:val="005F6C43"/>
    <w:rsid w:val="00613C84"/>
    <w:rsid w:val="006238C7"/>
    <w:rsid w:val="006643FB"/>
    <w:rsid w:val="006A0EBE"/>
    <w:rsid w:val="006B7B01"/>
    <w:rsid w:val="00714034"/>
    <w:rsid w:val="007144CB"/>
    <w:rsid w:val="00715C6C"/>
    <w:rsid w:val="00716E6C"/>
    <w:rsid w:val="00717AA4"/>
    <w:rsid w:val="00744BBA"/>
    <w:rsid w:val="0077244E"/>
    <w:rsid w:val="007C40B4"/>
    <w:rsid w:val="007C65C7"/>
    <w:rsid w:val="007D6F9B"/>
    <w:rsid w:val="007F4045"/>
    <w:rsid w:val="00835F84"/>
    <w:rsid w:val="00842E5A"/>
    <w:rsid w:val="00882B12"/>
    <w:rsid w:val="008A2903"/>
    <w:rsid w:val="008C1040"/>
    <w:rsid w:val="008C69A7"/>
    <w:rsid w:val="009544FB"/>
    <w:rsid w:val="00962604"/>
    <w:rsid w:val="009942B6"/>
    <w:rsid w:val="009B20E7"/>
    <w:rsid w:val="009B6CE3"/>
    <w:rsid w:val="009C2CB1"/>
    <w:rsid w:val="009F1EEC"/>
    <w:rsid w:val="00A07D30"/>
    <w:rsid w:val="00A17F05"/>
    <w:rsid w:val="00A26C41"/>
    <w:rsid w:val="00A35574"/>
    <w:rsid w:val="00A419C0"/>
    <w:rsid w:val="00A41F63"/>
    <w:rsid w:val="00A47398"/>
    <w:rsid w:val="00A56B77"/>
    <w:rsid w:val="00A83F7A"/>
    <w:rsid w:val="00A9427F"/>
    <w:rsid w:val="00AA5B3B"/>
    <w:rsid w:val="00AB0C03"/>
    <w:rsid w:val="00AE2121"/>
    <w:rsid w:val="00B14456"/>
    <w:rsid w:val="00B3248B"/>
    <w:rsid w:val="00B34204"/>
    <w:rsid w:val="00B472DD"/>
    <w:rsid w:val="00B81734"/>
    <w:rsid w:val="00BB7350"/>
    <w:rsid w:val="00BC1BBE"/>
    <w:rsid w:val="00BE1ED0"/>
    <w:rsid w:val="00C2580D"/>
    <w:rsid w:val="00C301F5"/>
    <w:rsid w:val="00C36628"/>
    <w:rsid w:val="00C511B9"/>
    <w:rsid w:val="00CA4CDA"/>
    <w:rsid w:val="00CA6D92"/>
    <w:rsid w:val="00CC7C09"/>
    <w:rsid w:val="00D325BD"/>
    <w:rsid w:val="00D41897"/>
    <w:rsid w:val="00D439A2"/>
    <w:rsid w:val="00D47082"/>
    <w:rsid w:val="00D55739"/>
    <w:rsid w:val="00D86874"/>
    <w:rsid w:val="00D929A9"/>
    <w:rsid w:val="00DA3081"/>
    <w:rsid w:val="00DA563E"/>
    <w:rsid w:val="00DA58C8"/>
    <w:rsid w:val="00DB40A5"/>
    <w:rsid w:val="00DF0EE3"/>
    <w:rsid w:val="00E127E5"/>
    <w:rsid w:val="00E4681B"/>
    <w:rsid w:val="00EA5E96"/>
    <w:rsid w:val="00EA7ABF"/>
    <w:rsid w:val="00EE1F3F"/>
    <w:rsid w:val="00F07862"/>
    <w:rsid w:val="00F174BD"/>
    <w:rsid w:val="00F23C0F"/>
    <w:rsid w:val="00F52472"/>
    <w:rsid w:val="00F548EB"/>
    <w:rsid w:val="00F559F9"/>
    <w:rsid w:val="00F7049A"/>
    <w:rsid w:val="00F97728"/>
    <w:rsid w:val="00FA68D5"/>
    <w:rsid w:val="00FA786E"/>
    <w:rsid w:val="00FB1ED6"/>
    <w:rsid w:val="00FB687F"/>
    <w:rsid w:val="00FB79BA"/>
    <w:rsid w:val="00FC02E6"/>
    <w:rsid w:val="00FC060A"/>
    <w:rsid w:val="00FC6C9A"/>
    <w:rsid w:val="00FD00B1"/>
    <w:rsid w:val="00FD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D3215"/>
  <w15:chartTrackingRefBased/>
  <w15:docId w15:val="{DA489F07-793F-4A3A-A4E2-2F5DE80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14:ligatures w14:val="standard"/>
        <w14:stylisticSets>
          <w14:styleSet w14:id="5"/>
        </w14:stylisticSets>
        <w14:cntxtAlts/>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7A"/>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20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2D208E"/>
    <w:pPr>
      <w:spacing w:before="0" w:after="0"/>
      <w:ind w:left="0" w:firstLine="0"/>
    </w:pPr>
    <w:rPr>
      <w:rFonts w:ascii="Arial Narrow" w:eastAsia="Times New Roman" w:hAnsi="Arial Narrow" w:cs="Times New Roman"/>
      <w:b/>
      <w:sz w:val="18"/>
      <w:szCs w:val="20"/>
      <w14:ligatures w14:val="none"/>
      <w14:stylisticSets/>
      <w14:cntxtAlts w14:val="0"/>
    </w:rPr>
  </w:style>
  <w:style w:type="character" w:customStyle="1" w:styleId="Corpsdetexte3Car">
    <w:name w:val="Corps de texte 3 Car"/>
    <w:basedOn w:val="Policepardfaut"/>
    <w:link w:val="Corpsdetexte3"/>
    <w:rsid w:val="002D208E"/>
    <w:rPr>
      <w:rFonts w:ascii="Arial Narrow" w:eastAsia="Times New Roman" w:hAnsi="Arial Narrow" w:cs="Times New Roman"/>
      <w:b/>
      <w:sz w:val="18"/>
      <w:szCs w:val="20"/>
      <w:lang w:val="fr-CA"/>
      <w14:ligatures w14:val="none"/>
      <w14:stylisticSets/>
      <w14:cntxtAlts w14:val="0"/>
    </w:rPr>
  </w:style>
  <w:style w:type="character" w:styleId="Lienhypertexte">
    <w:name w:val="Hyperlink"/>
    <w:rsid w:val="002D208E"/>
    <w:rPr>
      <w:color w:val="0000FF"/>
      <w:u w:val="single"/>
    </w:rPr>
  </w:style>
  <w:style w:type="paragraph" w:styleId="Corpsdetexte">
    <w:name w:val="Body Text"/>
    <w:basedOn w:val="Normal"/>
    <w:link w:val="CorpsdetexteCar"/>
    <w:uiPriority w:val="99"/>
    <w:semiHidden/>
    <w:unhideWhenUsed/>
    <w:rsid w:val="00A26C41"/>
    <w:pPr>
      <w:spacing w:after="120"/>
    </w:pPr>
  </w:style>
  <w:style w:type="character" w:customStyle="1" w:styleId="CorpsdetexteCar">
    <w:name w:val="Corps de texte Car"/>
    <w:basedOn w:val="Policepardfaut"/>
    <w:link w:val="Corpsdetexte"/>
    <w:uiPriority w:val="99"/>
    <w:semiHidden/>
    <w:rsid w:val="00A26C41"/>
  </w:style>
  <w:style w:type="paragraph" w:styleId="Textedebulles">
    <w:name w:val="Balloon Text"/>
    <w:basedOn w:val="Normal"/>
    <w:link w:val="TextedebullesCar"/>
    <w:uiPriority w:val="99"/>
    <w:semiHidden/>
    <w:unhideWhenUsed/>
    <w:rsid w:val="00FB1ED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1ED6"/>
    <w:rPr>
      <w:rFonts w:ascii="Segoe UI" w:hAnsi="Segoe UI" w:cs="Segoe UI"/>
      <w:sz w:val="18"/>
      <w:szCs w:val="18"/>
    </w:rPr>
  </w:style>
  <w:style w:type="character" w:styleId="Textedelespacerserv">
    <w:name w:val="Placeholder Text"/>
    <w:basedOn w:val="Policepardfaut"/>
    <w:uiPriority w:val="99"/>
    <w:semiHidden/>
    <w:rsid w:val="00344907"/>
    <w:rPr>
      <w:color w:val="808080"/>
    </w:rPr>
  </w:style>
  <w:style w:type="character" w:styleId="Mentionnonrsolue">
    <w:name w:val="Unresolved Mention"/>
    <w:basedOn w:val="Policepardfaut"/>
    <w:uiPriority w:val="99"/>
    <w:semiHidden/>
    <w:unhideWhenUsed/>
    <w:rsid w:val="006643FB"/>
    <w:rPr>
      <w:color w:val="605E5C"/>
      <w:shd w:val="clear" w:color="auto" w:fill="E1DFDD"/>
    </w:rPr>
  </w:style>
  <w:style w:type="character" w:styleId="Marquedecommentaire">
    <w:name w:val="annotation reference"/>
    <w:basedOn w:val="Policepardfaut"/>
    <w:uiPriority w:val="99"/>
    <w:semiHidden/>
    <w:unhideWhenUsed/>
    <w:rsid w:val="006238C7"/>
    <w:rPr>
      <w:sz w:val="16"/>
      <w:szCs w:val="16"/>
    </w:rPr>
  </w:style>
  <w:style w:type="paragraph" w:styleId="Commentaire">
    <w:name w:val="annotation text"/>
    <w:basedOn w:val="Normal"/>
    <w:link w:val="CommentaireCar"/>
    <w:uiPriority w:val="99"/>
    <w:semiHidden/>
    <w:unhideWhenUsed/>
    <w:rsid w:val="006238C7"/>
    <w:rPr>
      <w:sz w:val="20"/>
      <w:szCs w:val="20"/>
    </w:rPr>
  </w:style>
  <w:style w:type="character" w:customStyle="1" w:styleId="CommentaireCar">
    <w:name w:val="Commentaire Car"/>
    <w:basedOn w:val="Policepardfaut"/>
    <w:link w:val="Commentaire"/>
    <w:uiPriority w:val="99"/>
    <w:semiHidden/>
    <w:rsid w:val="006238C7"/>
    <w:rPr>
      <w:sz w:val="20"/>
      <w:szCs w:val="20"/>
    </w:rPr>
  </w:style>
  <w:style w:type="paragraph" w:styleId="Objetducommentaire">
    <w:name w:val="annotation subject"/>
    <w:basedOn w:val="Commentaire"/>
    <w:next w:val="Commentaire"/>
    <w:link w:val="ObjetducommentaireCar"/>
    <w:uiPriority w:val="99"/>
    <w:semiHidden/>
    <w:unhideWhenUsed/>
    <w:rsid w:val="006238C7"/>
    <w:rPr>
      <w:b/>
      <w:bCs/>
    </w:rPr>
  </w:style>
  <w:style w:type="character" w:customStyle="1" w:styleId="ObjetducommentaireCar">
    <w:name w:val="Objet du commentaire Car"/>
    <w:basedOn w:val="CommentaireCar"/>
    <w:link w:val="Objetducommentaire"/>
    <w:uiPriority w:val="99"/>
    <w:semiHidden/>
    <w:rsid w:val="006238C7"/>
    <w:rPr>
      <w:b/>
      <w:bCs/>
      <w:sz w:val="20"/>
      <w:szCs w:val="20"/>
    </w:rPr>
  </w:style>
  <w:style w:type="paragraph" w:styleId="En-tte">
    <w:name w:val="header"/>
    <w:basedOn w:val="Normal"/>
    <w:link w:val="En-tteCar"/>
    <w:uiPriority w:val="99"/>
    <w:unhideWhenUsed/>
    <w:rsid w:val="00A9427F"/>
    <w:pPr>
      <w:tabs>
        <w:tab w:val="center" w:pos="4680"/>
        <w:tab w:val="right" w:pos="9360"/>
      </w:tabs>
      <w:spacing w:before="0" w:after="0"/>
    </w:pPr>
  </w:style>
  <w:style w:type="character" w:customStyle="1" w:styleId="En-tteCar">
    <w:name w:val="En-tête Car"/>
    <w:basedOn w:val="Policepardfaut"/>
    <w:link w:val="En-tte"/>
    <w:uiPriority w:val="99"/>
    <w:rsid w:val="00A9427F"/>
    <w:rPr>
      <w:lang w:val="fr-CA"/>
    </w:rPr>
  </w:style>
  <w:style w:type="paragraph" w:styleId="Pieddepage">
    <w:name w:val="footer"/>
    <w:basedOn w:val="Normal"/>
    <w:link w:val="PieddepageCar"/>
    <w:uiPriority w:val="99"/>
    <w:unhideWhenUsed/>
    <w:rsid w:val="00A9427F"/>
    <w:pPr>
      <w:tabs>
        <w:tab w:val="center" w:pos="4680"/>
        <w:tab w:val="right" w:pos="9360"/>
      </w:tabs>
      <w:spacing w:before="0" w:after="0"/>
    </w:pPr>
  </w:style>
  <w:style w:type="character" w:customStyle="1" w:styleId="PieddepageCar">
    <w:name w:val="Pied de page Car"/>
    <w:basedOn w:val="Policepardfaut"/>
    <w:link w:val="Pieddepage"/>
    <w:uiPriority w:val="99"/>
    <w:rsid w:val="00A9427F"/>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c.pe.ca/wp-content/uploads/rulesofpracticeandprocedure-hearings.pdf" TargetMode="External"/><Relationship Id="rId3" Type="http://schemas.openxmlformats.org/officeDocument/2006/relationships/webSettings" Target="webSettings.xml"/><Relationship Id="rId7" Type="http://schemas.openxmlformats.org/officeDocument/2006/relationships/hyperlink" Target="http://www.irac.pe.ca/petrol/petroleu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etroleuminquiries@irac.pe.ca" TargetMode="External"/><Relationship Id="rId4" Type="http://schemas.openxmlformats.org/officeDocument/2006/relationships/footnotes" Target="footnotes.xml"/><Relationship Id="rId9" Type="http://schemas.openxmlformats.org/officeDocument/2006/relationships/hyperlink" Target="https://irac.pe.ca/hearings/public-hearing-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311</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IRAC</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Vessey</dc:creator>
  <cp:keywords/>
  <dc:description/>
  <cp:lastModifiedBy>Marie-Neige Caron</cp:lastModifiedBy>
  <cp:revision>9</cp:revision>
  <cp:lastPrinted>2025-02-11T17:10:00Z</cp:lastPrinted>
  <dcterms:created xsi:type="dcterms:W3CDTF">2025-02-05T18:12:00Z</dcterms:created>
  <dcterms:modified xsi:type="dcterms:W3CDTF">2025-02-11T17:35:00Z</dcterms:modified>
</cp:coreProperties>
</file>